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51" w:rsidRPr="004C712C" w:rsidRDefault="00924C51" w:rsidP="00924C51">
      <w:pPr>
        <w:ind w:firstLine="0"/>
        <w:jc w:val="right"/>
        <w:rPr>
          <w:rFonts w:eastAsia="Batang"/>
          <w:sz w:val="28"/>
          <w:szCs w:val="28"/>
          <w:lang w:val="ro-RO"/>
        </w:rPr>
      </w:pPr>
      <w:r w:rsidRPr="004C712C">
        <w:rPr>
          <w:rFonts w:eastAsia="DengXian Light"/>
          <w:sz w:val="28"/>
          <w:szCs w:val="28"/>
          <w:lang w:val="ro-RO"/>
        </w:rPr>
        <w:t>Anexa nr.5</w:t>
      </w:r>
    </w:p>
    <w:p w:rsidR="00924C51" w:rsidRPr="004C712C" w:rsidRDefault="00924C51" w:rsidP="00924C51">
      <w:pPr>
        <w:tabs>
          <w:tab w:val="left" w:pos="1155"/>
        </w:tabs>
        <w:spacing w:line="259" w:lineRule="auto"/>
        <w:ind w:firstLine="0"/>
        <w:jc w:val="right"/>
        <w:rPr>
          <w:rFonts w:eastAsia="Batang"/>
          <w:sz w:val="28"/>
          <w:szCs w:val="28"/>
          <w:lang w:val="ro-RO"/>
        </w:rPr>
      </w:pPr>
      <w:r>
        <w:rPr>
          <w:rFonts w:eastAsia="Batang"/>
          <w:sz w:val="28"/>
          <w:szCs w:val="28"/>
          <w:lang w:val="ro-RO"/>
        </w:rPr>
        <w:tab/>
      </w:r>
      <w:r>
        <w:rPr>
          <w:rFonts w:eastAsia="Batang"/>
          <w:sz w:val="28"/>
          <w:szCs w:val="28"/>
          <w:lang w:val="ro-RO"/>
        </w:rPr>
        <w:tab/>
      </w:r>
      <w:r>
        <w:rPr>
          <w:rFonts w:eastAsia="Batang"/>
          <w:sz w:val="28"/>
          <w:szCs w:val="28"/>
          <w:lang w:val="ro-RO"/>
        </w:rPr>
        <w:tab/>
      </w:r>
      <w:r>
        <w:rPr>
          <w:rFonts w:eastAsia="Batang"/>
          <w:sz w:val="28"/>
          <w:szCs w:val="28"/>
          <w:lang w:val="ro-RO"/>
        </w:rPr>
        <w:tab/>
      </w:r>
      <w:r>
        <w:rPr>
          <w:rFonts w:eastAsia="Batang"/>
          <w:sz w:val="28"/>
          <w:szCs w:val="28"/>
          <w:lang w:val="ro-RO"/>
        </w:rPr>
        <w:tab/>
      </w:r>
      <w:r>
        <w:rPr>
          <w:rFonts w:eastAsia="Batang"/>
          <w:sz w:val="28"/>
          <w:szCs w:val="28"/>
          <w:lang w:val="ro-RO"/>
        </w:rPr>
        <w:tab/>
      </w:r>
      <w:r w:rsidRPr="004C712C">
        <w:rPr>
          <w:rFonts w:eastAsia="Batang"/>
          <w:sz w:val="28"/>
          <w:szCs w:val="28"/>
          <w:lang w:val="ro-RO"/>
        </w:rPr>
        <w:t>la Hotărîrea Guvernului nr.</w:t>
      </w:r>
      <w:r>
        <w:rPr>
          <w:rFonts w:eastAsia="Batang"/>
          <w:sz w:val="28"/>
          <w:szCs w:val="28"/>
          <w:lang w:val="ro-RO"/>
        </w:rPr>
        <w:t>1231/2018</w:t>
      </w:r>
    </w:p>
    <w:p w:rsidR="00924C51" w:rsidRPr="004C712C" w:rsidRDefault="00924C51" w:rsidP="00924C51">
      <w:pPr>
        <w:spacing w:after="160" w:line="259" w:lineRule="auto"/>
        <w:ind w:firstLine="0"/>
        <w:jc w:val="left"/>
        <w:rPr>
          <w:rFonts w:eastAsia="Batang"/>
          <w:sz w:val="28"/>
          <w:szCs w:val="28"/>
          <w:lang w:val="ro-RO"/>
        </w:rPr>
      </w:pPr>
    </w:p>
    <w:p w:rsidR="00924C51" w:rsidRPr="004C712C" w:rsidRDefault="00924C51" w:rsidP="00924C51">
      <w:pPr>
        <w:spacing w:after="160" w:line="259" w:lineRule="auto"/>
        <w:ind w:firstLine="0"/>
        <w:contextualSpacing/>
        <w:jc w:val="center"/>
        <w:rPr>
          <w:b/>
          <w:bCs/>
          <w:sz w:val="28"/>
          <w:szCs w:val="28"/>
          <w:lang w:val="ro-RO" w:eastAsia="ru-RU"/>
        </w:rPr>
      </w:pPr>
      <w:r w:rsidRPr="004C712C">
        <w:rPr>
          <w:b/>
          <w:sz w:val="28"/>
          <w:szCs w:val="28"/>
          <w:lang w:val="ro-RO"/>
        </w:rPr>
        <w:t xml:space="preserve">Normele de calcul al salariului pe oră (unitate de timp) pentru </w:t>
      </w:r>
      <w:r w:rsidRPr="004C712C">
        <w:rPr>
          <w:b/>
          <w:bCs/>
          <w:sz w:val="28"/>
          <w:szCs w:val="28"/>
          <w:lang w:val="ro-RO" w:eastAsia="ru-RU"/>
        </w:rPr>
        <w:t>personalul antrenat în activitatea didactică în toate ramurile economiei naţionale</w:t>
      </w:r>
    </w:p>
    <w:p w:rsidR="00924C51" w:rsidRPr="004C712C" w:rsidRDefault="00924C51" w:rsidP="00924C51">
      <w:pPr>
        <w:spacing w:after="160" w:line="259" w:lineRule="auto"/>
        <w:ind w:firstLine="0"/>
        <w:contextualSpacing/>
        <w:jc w:val="center"/>
        <w:rPr>
          <w:b/>
          <w:bCs/>
          <w:sz w:val="28"/>
          <w:szCs w:val="28"/>
          <w:lang w:val="ro-RO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1339"/>
        <w:gridCol w:w="1343"/>
        <w:gridCol w:w="1609"/>
        <w:gridCol w:w="1609"/>
      </w:tblGrid>
      <w:tr w:rsidR="00924C51" w:rsidRPr="004C712C" w:rsidTr="0084181F">
        <w:tc>
          <w:tcPr>
            <w:tcW w:w="1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b/>
                <w:bCs/>
                <w:lang w:val="ro-RO" w:eastAsia="ru-RU"/>
              </w:rPr>
              <w:t>Contingentul din instituţiile de învăţămînt</w:t>
            </w:r>
          </w:p>
        </w:tc>
        <w:tc>
          <w:tcPr>
            <w:tcW w:w="32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b/>
                <w:bCs/>
                <w:lang w:val="ro-RO" w:eastAsia="ru-RU"/>
              </w:rPr>
              <w:t>Salariul pe unitate de timp, lei</w:t>
            </w:r>
          </w:p>
        </w:tc>
      </w:tr>
      <w:tr w:rsidR="00924C51" w:rsidRPr="004C712C" w:rsidTr="0084181F">
        <w:tc>
          <w:tcPr>
            <w:tcW w:w="1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4C51" w:rsidRPr="004C712C" w:rsidRDefault="00924C51" w:rsidP="0084181F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b/>
                <w:bCs/>
                <w:lang w:val="ro-RO" w:eastAsia="ru-RU"/>
              </w:rPr>
              <w:t>profesor universitar sau doctor habilitat</w:t>
            </w:r>
          </w:p>
        </w:tc>
        <w:tc>
          <w:tcPr>
            <w:tcW w:w="7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b/>
                <w:bCs/>
                <w:lang w:val="ro-RO" w:eastAsia="ru-RU"/>
              </w:rPr>
              <w:t>conferenţiar universitar sau doctor în ştiinţe</w:t>
            </w:r>
          </w:p>
        </w:tc>
        <w:tc>
          <w:tcPr>
            <w:tcW w:w="1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b/>
                <w:bCs/>
                <w:lang w:val="ro-RO" w:eastAsia="ru-RU"/>
              </w:rPr>
              <w:t>fără titlu sau grad ştiinţific</w:t>
            </w:r>
          </w:p>
        </w:tc>
      </w:tr>
      <w:tr w:rsidR="00924C51" w:rsidRPr="004C712C" w:rsidTr="0084181F">
        <w:tc>
          <w:tcPr>
            <w:tcW w:w="1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4C51" w:rsidRPr="004C712C" w:rsidRDefault="00924C51" w:rsidP="0084181F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4C51" w:rsidRPr="004C712C" w:rsidRDefault="00924C51" w:rsidP="0084181F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7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4C51" w:rsidRPr="004C712C" w:rsidRDefault="00924C51" w:rsidP="0084181F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b/>
                <w:bCs/>
                <w:lang w:val="ro-RO" w:eastAsia="ru-RU"/>
              </w:rPr>
              <w:t>cu studii superioare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b/>
                <w:bCs/>
                <w:lang w:val="ro-RO" w:eastAsia="ru-RU"/>
              </w:rPr>
              <w:t>cu studii profesional tehnice</w:t>
            </w:r>
          </w:p>
        </w:tc>
      </w:tr>
      <w:tr w:rsidR="00924C51" w:rsidRPr="004C712C" w:rsidTr="0084181F"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924C51" w:rsidRPr="004C712C" w:rsidRDefault="00924C51" w:rsidP="0084181F">
            <w:pPr>
              <w:ind w:firstLine="0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Elevi ai instituţiilor de învăţămînt extraşcolar, general şi profesional tehnic şi alte categorii de persoane asimilate acestora, care îşi fac studiile; muncitori angajaţi care deţin funcţii ce necesită studii medii de specialitate, cursanţi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110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100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90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72</w:t>
            </w:r>
          </w:p>
        </w:tc>
      </w:tr>
      <w:tr w:rsidR="00924C51" w:rsidRPr="004C712C" w:rsidTr="0084181F"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924C51" w:rsidRPr="004C712C" w:rsidRDefault="00924C51" w:rsidP="0084181F">
            <w:pPr>
              <w:ind w:firstLine="0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Studenţi şi masteranzi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160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136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104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x</w:t>
            </w:r>
          </w:p>
        </w:tc>
      </w:tr>
      <w:tr w:rsidR="00924C51" w:rsidRPr="004C712C" w:rsidTr="0084181F"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924C51" w:rsidRPr="004C712C" w:rsidRDefault="00924C51" w:rsidP="0084181F">
            <w:pPr>
              <w:ind w:firstLine="0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Doctoranzi, audienţi ai instituţiilor de perfecţionare şi recalificare a cadrelor, precum şi cadre didactice şi manageriale solicitante de grade didactice şi manageriale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178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150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112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x</w:t>
            </w:r>
          </w:p>
        </w:tc>
      </w:tr>
      <w:tr w:rsidR="00924C51" w:rsidRPr="004C712C" w:rsidTr="0084181F"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924C51" w:rsidRPr="004C712C" w:rsidRDefault="00924C51" w:rsidP="0084181F">
            <w:pPr>
              <w:ind w:firstLine="0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Persoane care solicită acordarea cetăţeniei Republicii Moldova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165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143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109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C51" w:rsidRPr="004C712C" w:rsidRDefault="00924C51" w:rsidP="0084181F">
            <w:pPr>
              <w:ind w:firstLine="0"/>
              <w:jc w:val="center"/>
              <w:rPr>
                <w:lang w:val="ro-RO" w:eastAsia="ru-RU"/>
              </w:rPr>
            </w:pPr>
            <w:r w:rsidRPr="004C712C">
              <w:rPr>
                <w:lang w:val="ro-RO" w:eastAsia="ru-RU"/>
              </w:rPr>
              <w:t>x</w:t>
            </w:r>
          </w:p>
        </w:tc>
      </w:tr>
    </w:tbl>
    <w:p w:rsidR="00924C51" w:rsidRPr="004C712C" w:rsidRDefault="00924C51" w:rsidP="00924C51">
      <w:pPr>
        <w:ind w:left="720" w:firstLine="0"/>
        <w:contextualSpacing/>
        <w:rPr>
          <w:sz w:val="24"/>
          <w:szCs w:val="24"/>
          <w:lang w:val="ro-RO"/>
        </w:rPr>
      </w:pPr>
    </w:p>
    <w:p w:rsidR="00924C51" w:rsidRPr="004C712C" w:rsidRDefault="00924C51" w:rsidP="00924C51">
      <w:pPr>
        <w:contextualSpacing/>
        <w:rPr>
          <w:b/>
          <w:sz w:val="24"/>
          <w:szCs w:val="24"/>
          <w:lang w:val="ro-RO"/>
        </w:rPr>
      </w:pPr>
      <w:r w:rsidRPr="004C712C">
        <w:rPr>
          <w:b/>
          <w:sz w:val="24"/>
          <w:szCs w:val="24"/>
          <w:lang w:val="ro-RO"/>
        </w:rPr>
        <w:t>Note:</w:t>
      </w:r>
    </w:p>
    <w:p w:rsidR="00924C51" w:rsidRPr="004C712C" w:rsidRDefault="00924C51" w:rsidP="00924C51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20"/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Salariile pe unitate de timp indicate la poziția 1 a prezentului tabel, proporțional timpului de muncă, se aplică:</w:t>
      </w:r>
    </w:p>
    <w:p w:rsidR="00924C51" w:rsidRPr="004C712C" w:rsidRDefault="00924C51" w:rsidP="00924C51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20"/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la retribuirea muncii personalului care activează în cercuri, studiouri şi colective de amatori, inclusiv cu titlu „Model”;</w:t>
      </w:r>
    </w:p>
    <w:p w:rsidR="00924C51" w:rsidRPr="004C712C" w:rsidRDefault="00924C51" w:rsidP="00924C51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20"/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la retribuirea muncii lucrătorilor din întreprinderi, instituţii şi organizaţii pentru conducerea practicii pedagogice, medicale şi de producţie a studenţilor şi elevilor instituţiilor de învăţămînt superior şi mediu de specialitate;</w:t>
      </w:r>
    </w:p>
    <w:p w:rsidR="00924C51" w:rsidRPr="004C712C" w:rsidRDefault="00924C51" w:rsidP="00924C51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20"/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la retribuirea persoanelor care pozează în instituţiile de artă plastică şi în alte instituţii de învăţămînt, în următoarele mărimi:</w:t>
      </w:r>
    </w:p>
    <w:p w:rsidR="00924C51" w:rsidRPr="004C712C" w:rsidRDefault="00924C51" w:rsidP="00924C51">
      <w:pPr>
        <w:tabs>
          <w:tab w:val="left" w:pos="993"/>
        </w:tabs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- model nud – 27 lei;</w:t>
      </w:r>
    </w:p>
    <w:p w:rsidR="00924C51" w:rsidRPr="004C712C" w:rsidRDefault="00924C51" w:rsidP="00924C51">
      <w:pPr>
        <w:tabs>
          <w:tab w:val="left" w:pos="993"/>
        </w:tabs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- model îmbrăcat, în poziţie incomodă – 19 lei;</w:t>
      </w:r>
    </w:p>
    <w:p w:rsidR="00924C51" w:rsidRPr="004C712C" w:rsidRDefault="00924C51" w:rsidP="00924C51">
      <w:pPr>
        <w:tabs>
          <w:tab w:val="left" w:pos="993"/>
        </w:tabs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- model îmbrăcat pentru studierea anumitor părţi ale corpului şi pentru portret – 16 lei;</w:t>
      </w:r>
    </w:p>
    <w:p w:rsidR="00924C51" w:rsidRPr="004C712C" w:rsidRDefault="00924C51" w:rsidP="00924C51">
      <w:pPr>
        <w:tabs>
          <w:tab w:val="left" w:pos="993"/>
        </w:tabs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d) pentru însoţitorul elevilor transportaţi între localitatea de domiciliu a acestora şi instituţia de învăţămînt general în care îşi fac studiile.</w:t>
      </w:r>
    </w:p>
    <w:p w:rsidR="00924C51" w:rsidRPr="004C712C" w:rsidRDefault="00924C51" w:rsidP="00924C51">
      <w:pPr>
        <w:tabs>
          <w:tab w:val="left" w:pos="993"/>
        </w:tabs>
        <w:contextualSpacing/>
        <w:rPr>
          <w:sz w:val="24"/>
          <w:szCs w:val="24"/>
          <w:lang w:val="ro-RO"/>
        </w:rPr>
      </w:pPr>
    </w:p>
    <w:p w:rsidR="00924C51" w:rsidRPr="004C712C" w:rsidRDefault="00924C51" w:rsidP="00924C51">
      <w:pPr>
        <w:tabs>
          <w:tab w:val="left" w:pos="993"/>
        </w:tabs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2. Salariile pe unitate de timp indicate în prezentul tabel se aplică la:</w:t>
      </w:r>
    </w:p>
    <w:p w:rsidR="00924C51" w:rsidRPr="004C712C" w:rsidRDefault="00924C51" w:rsidP="00924C51">
      <w:pPr>
        <w:tabs>
          <w:tab w:val="left" w:pos="993"/>
        </w:tabs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a) salarizarea pe unitate de timp a specialiştilor, inclusiv cu statut de funcţionari publici, care dispun de dreptul de a presta muncă didactică în orele de program la locul de muncă de bază;</w:t>
      </w:r>
    </w:p>
    <w:p w:rsidR="00924C51" w:rsidRPr="004C712C" w:rsidRDefault="00924C51" w:rsidP="00924C51">
      <w:pPr>
        <w:tabs>
          <w:tab w:val="left" w:pos="993"/>
        </w:tabs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b) salarizarea pe unitate de timp a ofițerilor de informații şi securitate pentru orele predate la Institutul Național de Informații şi Securitate „Bogdan Întemeietorul Moldovei”, fără a fi eliberați de la exercitarea obligațiilor de bază.</w:t>
      </w: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lastRenderedPageBreak/>
        <w:t>3. Pentru personalul angajat la predarea cursurilor practice şi a altor cursuri similare în instituţiile de învăţămînt, plata muncii pe oră este cu 15 la sută mai mică decît salariile pe unitate de timp prevăzute în prezenta anexă.</w:t>
      </w: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sz w:val="24"/>
          <w:szCs w:val="24"/>
          <w:lang w:val="ro-RO"/>
        </w:rPr>
      </w:pP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>4. Salariile pe unitate de timp pentru persoanele care deţin titlul onorific „Artist al poporului” se stabilesc în mărimile prevăzute pentru titlurile de profesor universitar sau doctor habilitat.</w:t>
      </w: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sz w:val="24"/>
          <w:szCs w:val="24"/>
          <w:lang w:val="ro-RO"/>
        </w:rPr>
      </w:pP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rFonts w:eastAsia="Batang"/>
          <w:sz w:val="24"/>
          <w:szCs w:val="24"/>
          <w:lang w:val="ro-RO"/>
        </w:rPr>
      </w:pPr>
      <w:r w:rsidRPr="004C712C">
        <w:rPr>
          <w:sz w:val="24"/>
          <w:szCs w:val="24"/>
          <w:lang w:val="ro-RO"/>
        </w:rPr>
        <w:t xml:space="preserve">5. </w:t>
      </w:r>
      <w:r w:rsidRPr="004C712C">
        <w:rPr>
          <w:rFonts w:eastAsia="Batang"/>
          <w:sz w:val="24"/>
          <w:szCs w:val="24"/>
          <w:lang w:val="ro-RO"/>
        </w:rPr>
        <w:t>Persoanel</w:t>
      </w:r>
      <w:r>
        <w:rPr>
          <w:rFonts w:eastAsia="Batang"/>
          <w:sz w:val="24"/>
          <w:szCs w:val="24"/>
          <w:lang w:val="ro-RO"/>
        </w:rPr>
        <w:t>or din corpul didactic auxiliar</w:t>
      </w:r>
      <w:r w:rsidRPr="004C712C">
        <w:rPr>
          <w:rFonts w:eastAsia="Batang"/>
          <w:sz w:val="24"/>
          <w:szCs w:val="24"/>
          <w:lang w:val="ro-RO"/>
        </w:rPr>
        <w:t xml:space="preserve"> înc</w:t>
      </w:r>
      <w:r>
        <w:rPr>
          <w:rFonts w:eastAsia="Batang"/>
          <w:sz w:val="24"/>
          <w:szCs w:val="24"/>
          <w:lang w:val="ro-RO"/>
        </w:rPr>
        <w:t>adrate în procesul de instruire</w:t>
      </w:r>
      <w:r w:rsidRPr="004C712C">
        <w:rPr>
          <w:rFonts w:eastAsia="Batang"/>
          <w:sz w:val="24"/>
          <w:szCs w:val="24"/>
          <w:lang w:val="ro-RO"/>
        </w:rPr>
        <w:t xml:space="preserve"> li se stabilesc salarii pe unitate de timp în mărime de 50 la sută din tarifele prevăzute pentru persoanele fără titlu ştiinţific.</w:t>
      </w: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rFonts w:eastAsia="Batang"/>
          <w:sz w:val="24"/>
          <w:szCs w:val="24"/>
          <w:lang w:val="ro-RO"/>
        </w:rPr>
      </w:pP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rFonts w:eastAsia="Batang"/>
          <w:sz w:val="24"/>
          <w:szCs w:val="24"/>
          <w:lang w:val="ro-RO"/>
        </w:rPr>
      </w:pPr>
      <w:r w:rsidRPr="004C712C">
        <w:rPr>
          <w:rFonts w:eastAsia="Batang"/>
          <w:sz w:val="24"/>
          <w:szCs w:val="24"/>
          <w:lang w:val="ro-RO"/>
        </w:rPr>
        <w:t>6. Retribuirea muncii membrilor în juriile concursurilor, precum şi a recenzenţilor lucrărilor de concurs se efectuează conform salariilor pe unitate de timp prevăzute pentru personalul angajat la predarea cursurilor pentru studenţi.</w:t>
      </w: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rFonts w:eastAsia="Batang"/>
          <w:sz w:val="24"/>
          <w:szCs w:val="24"/>
          <w:lang w:val="ro-RO"/>
        </w:rPr>
      </w:pPr>
    </w:p>
    <w:p w:rsidR="00924C51" w:rsidRPr="004C712C" w:rsidRDefault="00924C51" w:rsidP="00924C51">
      <w:pPr>
        <w:tabs>
          <w:tab w:val="left" w:pos="993"/>
        </w:tabs>
        <w:ind w:firstLine="709"/>
        <w:contextualSpacing/>
        <w:rPr>
          <w:sz w:val="24"/>
          <w:szCs w:val="24"/>
          <w:lang w:val="ro-RO"/>
        </w:rPr>
      </w:pPr>
      <w:r w:rsidRPr="004C712C">
        <w:rPr>
          <w:rFonts w:eastAsia="Batang"/>
          <w:sz w:val="24"/>
          <w:szCs w:val="24"/>
          <w:lang w:val="ro-RO"/>
        </w:rPr>
        <w:t>7. Salarizarea membrilor Comisiei de examinare pentru evaluarea gradului de cunoaştere a prevederilor Constituţiei Republicii Moldova şi a limbii de stat se efectuează conform salariilor pe unitate de timp prevăzute în prezentul tabel pentru personalul angajat la predarea cursurilor pentru persoanele care solicită acordarea cetăţeniei Republicii Moldova.</w:t>
      </w:r>
    </w:p>
    <w:p w:rsidR="003C02D6" w:rsidRPr="00924C51" w:rsidRDefault="003C02D6">
      <w:pPr>
        <w:rPr>
          <w:lang w:val="ro-RO"/>
        </w:rPr>
      </w:pPr>
    </w:p>
    <w:sectPr w:rsidR="003C02D6" w:rsidRPr="00924C51" w:rsidSect="00924C5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361"/>
    <w:multiLevelType w:val="hybridMultilevel"/>
    <w:tmpl w:val="CF9E6EE4"/>
    <w:lvl w:ilvl="0" w:tplc="ACEA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07DF5"/>
    <w:multiLevelType w:val="hybridMultilevel"/>
    <w:tmpl w:val="2B64235E"/>
    <w:lvl w:ilvl="0" w:tplc="ACBE8E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C51"/>
    <w:rsid w:val="003C02D6"/>
    <w:rsid w:val="0092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2018-12-17T08:28:00Z</dcterms:created>
  <dcterms:modified xsi:type="dcterms:W3CDTF">2018-12-17T08:29:00Z</dcterms:modified>
</cp:coreProperties>
</file>